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5" w:type="dxa"/>
        <w:jc w:val="center"/>
        <w:tblInd w:w="-584" w:type="dxa"/>
        <w:tblBorders>
          <w:bottom w:val="double" w:sz="6" w:space="0" w:color="auto"/>
        </w:tblBorders>
        <w:tblLayout w:type="fixed"/>
        <w:tblCellMar>
          <w:left w:w="70" w:type="dxa"/>
          <w:right w:w="70" w:type="dxa"/>
        </w:tblCellMar>
        <w:tblLook w:val="04A0"/>
      </w:tblPr>
      <w:tblGrid>
        <w:gridCol w:w="1746"/>
        <w:gridCol w:w="9069"/>
      </w:tblGrid>
      <w:tr w:rsidR="001F0EF0" w:rsidTr="001F0EF0">
        <w:trPr>
          <w:trHeight w:val="1288"/>
          <w:jc w:val="center"/>
        </w:trPr>
        <w:tc>
          <w:tcPr>
            <w:tcW w:w="1747" w:type="dxa"/>
            <w:tcBorders>
              <w:top w:val="nil"/>
              <w:left w:val="nil"/>
              <w:bottom w:val="double" w:sz="6" w:space="0" w:color="auto"/>
              <w:right w:val="nil"/>
            </w:tcBorders>
            <w:vAlign w:val="center"/>
            <w:hideMark/>
          </w:tcPr>
          <w:p w:rsidR="001F0EF0" w:rsidRDefault="001F0EF0">
            <w:pPr>
              <w:suppressAutoHyphens/>
              <w:spacing w:after="0" w:line="240" w:lineRule="auto"/>
              <w:ind w:left="-7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r w:rsidRPr="006E69D4">
              <w:rPr>
                <w:rFonts w:ascii="Times New Roman" w:eastAsia="Times New Roman" w:hAnsi="Times New Roman" w:cs="Times New Roman"/>
                <w:position w:val="-68"/>
                <w:sz w:val="24"/>
                <w:szCs w:val="24"/>
                <w:lang w:eastAsia="ar-SA"/>
              </w:rPr>
              <w:object w:dxaOrig="144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4pt" o:ole="" fillcolor="window">
                  <v:imagedata r:id="rId5" o:title=""/>
                </v:shape>
                <o:OLEObject Type="Embed" ProgID="Word.Picture.8" ShapeID="_x0000_i1025" DrawAspect="Content" ObjectID="_1763226603" r:id="rId6"/>
              </w:object>
            </w:r>
          </w:p>
        </w:tc>
        <w:tc>
          <w:tcPr>
            <w:tcW w:w="9072" w:type="dxa"/>
            <w:tcBorders>
              <w:top w:val="nil"/>
              <w:left w:val="nil"/>
              <w:bottom w:val="double" w:sz="6" w:space="0" w:color="auto"/>
              <w:right w:val="nil"/>
            </w:tcBorders>
            <w:vAlign w:val="center"/>
          </w:tcPr>
          <w:p w:rsidR="001F0EF0" w:rsidRDefault="001F0EF0">
            <w:pPr>
              <w:overflowPunct w:val="0"/>
              <w:autoSpaceDE w:val="0"/>
              <w:autoSpaceDN w:val="0"/>
              <w:adjustRightInd w:val="0"/>
              <w:spacing w:after="0" w:line="240" w:lineRule="auto"/>
              <w:ind w:right="2157"/>
              <w:jc w:val="center"/>
              <w:rPr>
                <w:rFonts w:ascii="Calibri" w:eastAsia="Times New Roman" w:hAnsi="Calibri" w:cstheme="minorHAnsi"/>
                <w:b/>
                <w:spacing w:val="20"/>
                <w:sz w:val="18"/>
                <w:szCs w:val="20"/>
                <w:lang w:eastAsia="it-IT"/>
              </w:rPr>
            </w:pPr>
            <w:r>
              <w:rPr>
                <w:rFonts w:eastAsia="Times New Roman" w:cstheme="minorHAnsi"/>
                <w:b/>
                <w:spacing w:val="20"/>
                <w:sz w:val="18"/>
                <w:szCs w:val="20"/>
                <w:lang w:eastAsia="it-IT"/>
              </w:rPr>
              <w:t>MINISTERO DELL’ISTRUZIONE</w:t>
            </w:r>
          </w:p>
          <w:p w:rsidR="001F0EF0" w:rsidRDefault="004D197C">
            <w:pPr>
              <w:overflowPunct w:val="0"/>
              <w:autoSpaceDE w:val="0"/>
              <w:autoSpaceDN w:val="0"/>
              <w:adjustRightInd w:val="0"/>
              <w:spacing w:after="0" w:line="240" w:lineRule="auto"/>
              <w:ind w:right="2157"/>
              <w:jc w:val="center"/>
              <w:rPr>
                <w:rFonts w:eastAsia="Times New Roman" w:cstheme="minorHAnsi"/>
                <w:b/>
                <w:spacing w:val="20"/>
                <w:sz w:val="18"/>
                <w:szCs w:val="20"/>
                <w:lang w:eastAsia="it-IT"/>
              </w:rPr>
            </w:pPr>
            <w:r w:rsidRPr="004D197C">
              <w:rPr>
                <w:rFonts w:eastAsia="Calibri" w:cs="Times New Roman"/>
              </w:rPr>
              <w:pict>
                <v:shapetype id="_x0000_t202" coordsize="21600,21600" o:spt="202" path="m,l,21600r21600,l21600,xe">
                  <v:stroke joinstyle="miter"/>
                  <v:path gradientshapeok="t" o:connecttype="rect"/>
                </v:shapetype>
                <v:shape id="Casella di testo 2" o:spid="_x0000_s1026" type="#_x0000_t202" style="position:absolute;left:0;text-align:left;margin-left:345.85pt;margin-top:2.7pt;width:100.6pt;height:98.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" strokecolor="white">
                  <v:textbox style="mso-next-textbox:#Casella di testo 2">
                    <w:txbxContent>
                      <w:p w:rsidR="001F0EF0" w:rsidRDefault="001F0EF0" w:rsidP="001F0EF0">
                        <w:r>
                          <w:rPr>
                            <w:noProof/>
                            <w:sz w:val="20"/>
                            <w:szCs w:val="20"/>
                            <w:lang w:eastAsia="it-IT"/>
                          </w:rPr>
                          <w:drawing>
                            <wp:inline distT="0" distB="0" distL="0" distR="0">
                              <wp:extent cx="1066800" cy="1171575"/>
                              <wp:effectExtent l="19050" t="0" r="0" b="0"/>
                              <wp:docPr id="2"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9"/>
                                      <pic:cNvPicPr>
                                        <a:picLocks noChangeAspect="1" noChangeArrowheads="1"/>
                                      </pic:cNvPicPr>
                                    </pic:nvPicPr>
                                    <pic:blipFill>
                                      <a:blip r:embed="rId7"/>
                                      <a:srcRect/>
                                      <a:stretch>
                                        <a:fillRect/>
                                      </a:stretch>
                                    </pic:blipFill>
                                    <pic:spPr bwMode="auto">
                                      <a:xfrm>
                                        <a:off x="0" y="0"/>
                                        <a:ext cx="1066800" cy="1171575"/>
                                      </a:xfrm>
                                      <a:prstGeom prst="rect">
                                        <a:avLst/>
                                      </a:prstGeom>
                                      <a:noFill/>
                                      <a:ln w="9525">
                                        <a:noFill/>
                                        <a:miter lim="800000"/>
                                        <a:headEnd/>
                                        <a:tailEnd/>
                                      </a:ln>
                                    </pic:spPr>
                                  </pic:pic>
                                </a:graphicData>
                              </a:graphic>
                            </wp:inline>
                          </w:drawing>
                        </w:r>
                      </w:p>
                    </w:txbxContent>
                  </v:textbox>
                </v:shape>
              </w:pict>
            </w:r>
            <w:r w:rsidR="001F0EF0">
              <w:rPr>
                <w:rFonts w:eastAsia="Times New Roman" w:cstheme="minorHAnsi"/>
                <w:b/>
                <w:spacing w:val="20"/>
                <w:sz w:val="18"/>
                <w:szCs w:val="20"/>
                <w:lang w:eastAsia="it-IT"/>
              </w:rPr>
              <w:t>UFFICIO SCOLASTICO REGIONALE PER IL LAZIO</w:t>
            </w:r>
          </w:p>
          <w:p w:rsidR="001F0EF0" w:rsidRDefault="001F0EF0">
            <w:pPr>
              <w:overflowPunct w:val="0"/>
              <w:autoSpaceDE w:val="0"/>
              <w:autoSpaceDN w:val="0"/>
              <w:adjustRightInd w:val="0"/>
              <w:spacing w:after="0" w:line="240" w:lineRule="auto"/>
              <w:ind w:right="2157"/>
              <w:jc w:val="center"/>
              <w:rPr>
                <w:rFonts w:eastAsia="Times New Roman" w:cstheme="minorHAnsi"/>
                <w:spacing w:val="20"/>
                <w:sz w:val="36"/>
                <w:szCs w:val="40"/>
                <w:lang w:eastAsia="it-IT"/>
              </w:rPr>
            </w:pPr>
            <w:r>
              <w:rPr>
                <w:rFonts w:eastAsia="Times New Roman" w:cstheme="minorHAnsi"/>
                <w:spacing w:val="20"/>
                <w:sz w:val="36"/>
                <w:szCs w:val="40"/>
                <w:lang w:eastAsia="it-IT"/>
              </w:rPr>
              <w:t xml:space="preserve">ISTITUTO </w:t>
            </w:r>
            <w:proofErr w:type="spellStart"/>
            <w:r>
              <w:rPr>
                <w:rFonts w:eastAsia="Times New Roman" w:cstheme="minorHAnsi"/>
                <w:spacing w:val="20"/>
                <w:sz w:val="36"/>
                <w:szCs w:val="40"/>
                <w:lang w:eastAsia="it-IT"/>
              </w:rPr>
              <w:t>DI</w:t>
            </w:r>
            <w:proofErr w:type="spellEnd"/>
            <w:r>
              <w:rPr>
                <w:rFonts w:eastAsia="Times New Roman" w:cstheme="minorHAnsi"/>
                <w:spacing w:val="20"/>
                <w:sz w:val="36"/>
                <w:szCs w:val="40"/>
                <w:lang w:eastAsia="it-IT"/>
              </w:rPr>
              <w:t xml:space="preserve"> ISTRUZIONE SUPERIORE</w:t>
            </w:r>
          </w:p>
          <w:p w:rsidR="001F0EF0" w:rsidRDefault="001F0EF0">
            <w:pPr>
              <w:overflowPunct w:val="0"/>
              <w:autoSpaceDE w:val="0"/>
              <w:autoSpaceDN w:val="0"/>
              <w:adjustRightInd w:val="0"/>
              <w:spacing w:after="0" w:line="240" w:lineRule="auto"/>
              <w:ind w:right="2157"/>
              <w:jc w:val="center"/>
              <w:rPr>
                <w:rFonts w:eastAsia="Times New Roman" w:cstheme="minorHAnsi"/>
                <w:spacing w:val="20"/>
                <w:sz w:val="36"/>
                <w:szCs w:val="40"/>
                <w:lang w:eastAsia="it-IT"/>
              </w:rPr>
            </w:pPr>
            <w:r>
              <w:rPr>
                <w:rFonts w:eastAsia="Times New Roman" w:cstheme="minorHAnsi"/>
                <w:spacing w:val="20"/>
                <w:sz w:val="28"/>
                <w:szCs w:val="32"/>
                <w:lang w:eastAsia="it-IT"/>
              </w:rPr>
              <w:t xml:space="preserve">CAMPUS DEI LICEI “Massimiliano </w:t>
            </w:r>
            <w:proofErr w:type="spellStart"/>
            <w:r>
              <w:rPr>
                <w:rFonts w:eastAsia="Times New Roman" w:cstheme="minorHAnsi"/>
                <w:spacing w:val="20"/>
                <w:sz w:val="28"/>
                <w:szCs w:val="32"/>
                <w:lang w:eastAsia="it-IT"/>
              </w:rPr>
              <w:t>Ramadù</w:t>
            </w:r>
            <w:proofErr w:type="spellEnd"/>
            <w:r>
              <w:rPr>
                <w:rFonts w:eastAsia="Times New Roman" w:cstheme="minorHAnsi"/>
                <w:spacing w:val="20"/>
                <w:sz w:val="28"/>
                <w:szCs w:val="32"/>
                <w:lang w:eastAsia="it-IT"/>
              </w:rPr>
              <w:t>”</w:t>
            </w:r>
          </w:p>
          <w:p w:rsidR="001F0EF0" w:rsidRDefault="001F0EF0">
            <w:pPr>
              <w:overflowPunct w:val="0"/>
              <w:autoSpaceDE w:val="0"/>
              <w:autoSpaceDN w:val="0"/>
              <w:adjustRightInd w:val="0"/>
              <w:spacing w:after="0" w:line="240" w:lineRule="auto"/>
              <w:ind w:right="2157"/>
              <w:jc w:val="center"/>
              <w:rPr>
                <w:rFonts w:eastAsia="Times New Roman" w:cstheme="minorHAnsi"/>
                <w:b/>
                <w:spacing w:val="20"/>
                <w:sz w:val="18"/>
                <w:szCs w:val="20"/>
                <w:lang w:eastAsia="it-IT"/>
              </w:rPr>
            </w:pPr>
            <w:r>
              <w:rPr>
                <w:rFonts w:eastAsia="Times New Roman" w:cstheme="minorHAnsi"/>
                <w:bCs/>
                <w:iCs/>
                <w:spacing w:val="-4"/>
                <w:sz w:val="18"/>
                <w:szCs w:val="20"/>
                <w:lang w:eastAsia="it-IT"/>
              </w:rPr>
              <w:t xml:space="preserve">Via Rimini, 1  04012 CISTERNA </w:t>
            </w:r>
            <w:proofErr w:type="spellStart"/>
            <w:r>
              <w:rPr>
                <w:rFonts w:eastAsia="Times New Roman" w:cstheme="minorHAnsi"/>
                <w:bCs/>
                <w:iCs/>
                <w:spacing w:val="-4"/>
                <w:sz w:val="18"/>
                <w:szCs w:val="20"/>
                <w:lang w:eastAsia="it-IT"/>
              </w:rPr>
              <w:t>DI</w:t>
            </w:r>
            <w:proofErr w:type="spellEnd"/>
            <w:r>
              <w:rPr>
                <w:rFonts w:eastAsia="Times New Roman" w:cstheme="minorHAnsi"/>
                <w:bCs/>
                <w:iCs/>
                <w:spacing w:val="-4"/>
                <w:sz w:val="18"/>
                <w:szCs w:val="20"/>
                <w:lang w:eastAsia="it-IT"/>
              </w:rPr>
              <w:t xml:space="preserve"> LATINA (LT)</w:t>
            </w:r>
          </w:p>
          <w:p w:rsidR="001F0EF0" w:rsidRDefault="001F0EF0">
            <w:pPr>
              <w:overflowPunct w:val="0"/>
              <w:autoSpaceDE w:val="0"/>
              <w:autoSpaceDN w:val="0"/>
              <w:adjustRightInd w:val="0"/>
              <w:spacing w:after="0" w:line="240" w:lineRule="auto"/>
              <w:ind w:right="1873"/>
              <w:jc w:val="center"/>
              <w:rPr>
                <w:rFonts w:eastAsia="Times New Roman" w:cstheme="minorHAnsi"/>
                <w:b/>
                <w:spacing w:val="20"/>
                <w:sz w:val="18"/>
                <w:szCs w:val="20"/>
                <w:lang w:eastAsia="it-IT"/>
              </w:rPr>
            </w:pPr>
            <w:r>
              <w:rPr>
                <w:rFonts w:eastAsia="Times New Roman" w:cstheme="minorHAnsi"/>
                <w:bCs/>
                <w:iCs/>
                <w:spacing w:val="-4"/>
                <w:sz w:val="18"/>
                <w:szCs w:val="20"/>
                <w:lang w:eastAsia="it-IT"/>
              </w:rPr>
              <w:t>c. m. LTIS00100R – Codice Univoco Ufficio UFAC4D - C.F. 91004900592 – Codice iPA</w:t>
            </w:r>
            <w:r>
              <w:rPr>
                <w:rFonts w:eastAsia="Times New Roman" w:cstheme="minorHAnsi"/>
                <w:bCs/>
                <w:iCs/>
                <w:color w:val="000000"/>
                <w:spacing w:val="-4"/>
                <w:kern w:val="28"/>
                <w:sz w:val="18"/>
                <w:szCs w:val="18"/>
                <w:lang w:eastAsia="it-IT"/>
              </w:rPr>
              <w:t>istsc_ltis00100r</w:t>
            </w:r>
          </w:p>
          <w:p w:rsidR="001F0EF0" w:rsidRDefault="001F0EF0">
            <w:pPr>
              <w:overflowPunct w:val="0"/>
              <w:autoSpaceDE w:val="0"/>
              <w:autoSpaceDN w:val="0"/>
              <w:adjustRightInd w:val="0"/>
              <w:spacing w:after="0" w:line="240" w:lineRule="auto"/>
              <w:ind w:right="2157"/>
              <w:jc w:val="center"/>
              <w:rPr>
                <w:rFonts w:eastAsia="Times New Roman" w:cstheme="minorHAnsi"/>
                <w:b/>
                <w:bCs/>
                <w:spacing w:val="-4"/>
                <w:sz w:val="18"/>
                <w:szCs w:val="18"/>
                <w:u w:val="single"/>
              </w:rPr>
            </w:pPr>
            <w:r>
              <w:rPr>
                <w:rFonts w:eastAsia="Times New Roman" w:cstheme="minorHAnsi"/>
                <w:b/>
                <w:bCs/>
                <w:spacing w:val="-4"/>
                <w:sz w:val="18"/>
                <w:szCs w:val="18"/>
              </w:rPr>
              <w:sym w:font="Wingdings 2" w:char="0027"/>
            </w:r>
            <w:r>
              <w:rPr>
                <w:rFonts w:eastAsia="Times New Roman" w:cstheme="minorHAnsi"/>
                <w:b/>
                <w:bCs/>
                <w:spacing w:val="-4"/>
                <w:sz w:val="18"/>
                <w:szCs w:val="18"/>
              </w:rPr>
              <w:t xml:space="preserve"> 06.96873133 - </w:t>
            </w:r>
            <w:hyperlink r:id="rId8" w:history="1">
              <w:r>
                <w:rPr>
                  <w:rStyle w:val="Collegamentoipertestuale"/>
                  <w:rFonts w:eastAsia="Times New Roman" w:cstheme="minorHAnsi"/>
                  <w:b/>
                  <w:bCs/>
                  <w:spacing w:val="-4"/>
                  <w:sz w:val="18"/>
                  <w:szCs w:val="18"/>
                </w:rPr>
                <w:t>LTIS00100R@istruzione.it</w:t>
              </w:r>
            </w:hyperlink>
            <w:r>
              <w:rPr>
                <w:rFonts w:eastAsia="Times New Roman" w:cstheme="minorHAnsi"/>
                <w:b/>
                <w:bCs/>
                <w:spacing w:val="-4"/>
                <w:sz w:val="18"/>
                <w:szCs w:val="18"/>
              </w:rPr>
              <w:t xml:space="preserve"> – </w:t>
            </w:r>
            <w:hyperlink r:id="rId9" w:history="1">
              <w:r>
                <w:rPr>
                  <w:rStyle w:val="Collegamentoipertestuale"/>
                  <w:rFonts w:eastAsia="Times New Roman" w:cstheme="minorHAnsi"/>
                  <w:b/>
                  <w:bCs/>
                  <w:spacing w:val="-4"/>
                  <w:sz w:val="18"/>
                  <w:szCs w:val="18"/>
                </w:rPr>
                <w:t>LTIS00100R@pec.istruzione.it</w:t>
              </w:r>
            </w:hyperlink>
          </w:p>
          <w:p w:rsidR="001F0EF0" w:rsidRDefault="001F0EF0">
            <w:pPr>
              <w:suppressAutoHyphens/>
              <w:spacing w:after="0" w:line="260" w:lineRule="exact"/>
              <w:ind w:right="2157"/>
              <w:jc w:val="center"/>
              <w:rPr>
                <w:rFonts w:eastAsia="Times New Roman" w:cstheme="minorHAnsi"/>
                <w:bCs/>
                <w:sz w:val="24"/>
                <w:szCs w:val="24"/>
                <w:lang w:eastAsia="ar-SA"/>
              </w:rPr>
            </w:pPr>
            <w:r>
              <w:rPr>
                <w:rFonts w:eastAsia="Times New Roman" w:cstheme="minorHAnsi"/>
                <w:bCs/>
                <w:sz w:val="24"/>
                <w:szCs w:val="24"/>
                <w:lang w:eastAsia="ar-SA"/>
              </w:rPr>
              <w:t>S</w:t>
            </w:r>
            <w:r>
              <w:rPr>
                <w:rFonts w:eastAsia="Times New Roman" w:cstheme="minorHAnsi"/>
                <w:bCs/>
                <w:iCs/>
                <w:spacing w:val="-4"/>
                <w:sz w:val="20"/>
                <w:szCs w:val="20"/>
                <w:lang w:eastAsia="ar-SA"/>
              </w:rPr>
              <w:t>ito  web:</w:t>
            </w:r>
            <w:hyperlink r:id="rId10" w:history="1">
              <w:r>
                <w:rPr>
                  <w:rStyle w:val="Collegamentoipertestuale"/>
                  <w:rFonts w:eastAsia="Times New Roman" w:cstheme="minorHAnsi"/>
                  <w:sz w:val="20"/>
                  <w:szCs w:val="20"/>
                  <w:lang w:eastAsia="ar-SA"/>
                </w:rPr>
                <w:t>www.iisramadu.edu.it</w:t>
              </w:r>
            </w:hyperlink>
          </w:p>
          <w:p w:rsidR="001F0EF0" w:rsidRDefault="001F0EF0">
            <w:pPr>
              <w:suppressAutoHyphens/>
              <w:spacing w:after="0" w:line="260" w:lineRule="exact"/>
              <w:ind w:right="2157"/>
              <w:jc w:val="center"/>
              <w:rPr>
                <w:rFonts w:ascii="Times New Roman" w:eastAsia="Times New Roman" w:hAnsi="Times New Roman"/>
                <w:bCs/>
                <w:sz w:val="24"/>
                <w:szCs w:val="24"/>
                <w:lang w:eastAsia="ar-SA"/>
              </w:rPr>
            </w:pPr>
          </w:p>
        </w:tc>
      </w:tr>
    </w:tbl>
    <w:p w:rsidR="00315FF4" w:rsidRPr="00C37F2E" w:rsidRDefault="001F0EF0" w:rsidP="001F0EF0">
      <w:pPr>
        <w:jc w:val="center"/>
        <w:rPr>
          <w:b/>
          <w:sz w:val="28"/>
          <w:szCs w:val="28"/>
        </w:rPr>
      </w:pPr>
      <w:r w:rsidRPr="00C37F2E">
        <w:rPr>
          <w:b/>
          <w:sz w:val="28"/>
          <w:szCs w:val="28"/>
        </w:rPr>
        <w:t>Relazione introduttiva:</w:t>
      </w:r>
    </w:p>
    <w:p w:rsidR="00C727AE" w:rsidRDefault="0067625B">
      <w:pPr>
        <w:rPr>
          <w:sz w:val="28"/>
          <w:szCs w:val="28"/>
        </w:rPr>
      </w:pPr>
      <w:r>
        <w:rPr>
          <w:sz w:val="28"/>
          <w:szCs w:val="28"/>
        </w:rPr>
        <w:t>Il decreto legge n.16</w:t>
      </w:r>
      <w:r w:rsidR="00F3091D">
        <w:rPr>
          <w:sz w:val="28"/>
          <w:szCs w:val="28"/>
        </w:rPr>
        <w:t>2</w:t>
      </w:r>
      <w:r w:rsidR="00315FF4">
        <w:rPr>
          <w:sz w:val="28"/>
          <w:szCs w:val="28"/>
        </w:rPr>
        <w:t xml:space="preserve"> del 31 Ottobre 202</w:t>
      </w:r>
      <w:r w:rsidR="00C727AE">
        <w:rPr>
          <w:sz w:val="28"/>
          <w:szCs w:val="28"/>
        </w:rPr>
        <w:t xml:space="preserve">2 </w:t>
      </w:r>
      <w:r w:rsidR="00C727AE">
        <w:t>ha introdotto una nuova fattispecie delittuosa: l'art. 434-bis c.p., rubricata «Invasione di terreni o edifici per raduni pericolosi per l'ordine pubblico o l'incolumità pubblica o la salute pubblica». L’articolo 434-bis c.p. recita: «</w:t>
      </w:r>
      <w:r w:rsidR="00C727AE" w:rsidRPr="00C727AE">
        <w:rPr>
          <w:i/>
        </w:rPr>
        <w:t>L'invasione di terreni o edifici per raduni pericolosi per l'ordine pubblico o l'incolumità pubblica o la salute pubblica consiste nell'invasione arbitraria di terreni o edifici altrui, pubblici o privati, commessa da un numero di persone superiore a cinquanta, allo scopo di organizzare un raduno, quando dallo stesso può derivare un pericolo per l'ordine pubblico o l'incolumità pubblica o la salute pubblica. Chiunque organizza o promuove l'invasione di cui al primo comma è punito con la pena della reclusione da tre a sei anni e con la multa da euro 1.000 a euro 10.000. Per il solo fatto di partecipare all'invasione la pena è diminuita. E' sempre ordinata la confisca ai sensi dell'articolo 240, secondo comma, del codice penale, delle cose che servirono o furono destinate a commettere il reato di cui al primo comma nonché di quelle utilizzate nei medesimi casi per realizzare le finalità dell'occupazione».</w:t>
      </w:r>
      <w:r w:rsidR="00C727AE">
        <w:t xml:space="preserve"> </w:t>
      </w:r>
    </w:p>
    <w:p w:rsidR="00C727AE" w:rsidRPr="00C37F2E" w:rsidRDefault="00C727AE">
      <w:pPr>
        <w:rPr>
          <w:b/>
          <w:sz w:val="28"/>
          <w:szCs w:val="28"/>
        </w:rPr>
      </w:pPr>
      <w:r w:rsidRPr="00C37F2E">
        <w:rPr>
          <w:b/>
          <w:sz w:val="28"/>
          <w:szCs w:val="28"/>
        </w:rPr>
        <w:t>Rileviamo preliminarmente le seguenti criticità:</w:t>
      </w:r>
    </w:p>
    <w:p w:rsidR="00315FF4" w:rsidRPr="00057C35" w:rsidRDefault="00C727AE" w:rsidP="00057C35">
      <w:pPr>
        <w:pStyle w:val="Paragrafoelenco"/>
        <w:numPr>
          <w:ilvl w:val="0"/>
          <w:numId w:val="1"/>
        </w:numPr>
        <w:rPr>
          <w:sz w:val="28"/>
          <w:szCs w:val="28"/>
        </w:rPr>
      </w:pPr>
      <w:r>
        <w:t>Nel primo caso la pena prevista è ricompresa tra un minimo di tre anni ed un massimo di sei anni, mentre nel secondo caso non viene precisata la cornice edittale</w:t>
      </w:r>
      <w:r w:rsidR="00057C35">
        <w:t>. Di particolare interesse è, sempre per quanto attiene alla previsione inerente gli organizzatori, la cornice edittale, con particolare riferimento al minimo edittale. Nel nostro ordinamento, infatti, la sospensione condizionale della pena ai sensi dell'art. 163 c.p. è prevista per pene inferiori o uguali ai due anni</w:t>
      </w:r>
      <w:r w:rsidR="00770B74">
        <w:t>. N</w:t>
      </w:r>
      <w:r w:rsidR="00057C35">
        <w:t xml:space="preserve">el caso di specie l’inapplicabilità del beneficio della sospensione condizionale della pena all’art. . 434 bis disattende la logica deflattiva della legge </w:t>
      </w:r>
      <w:proofErr w:type="spellStart"/>
      <w:r w:rsidR="00057C35">
        <w:t>Cartabia</w:t>
      </w:r>
      <w:proofErr w:type="spellEnd"/>
      <w:r w:rsidR="00EC30DE">
        <w:t>.</w:t>
      </w:r>
    </w:p>
    <w:p w:rsidR="00057C35" w:rsidRPr="008E7C1B" w:rsidRDefault="00672D1B" w:rsidP="00057C35">
      <w:pPr>
        <w:pStyle w:val="Paragrafoelenco"/>
        <w:numPr>
          <w:ilvl w:val="0"/>
          <w:numId w:val="1"/>
        </w:numPr>
        <w:rPr>
          <w:sz w:val="28"/>
          <w:szCs w:val="28"/>
        </w:rPr>
      </w:pPr>
      <w:r>
        <w:t>Con riferimento invece alla semplice partecipazione alla invasione arbitraria finalizzata al raduno pericoloso, la norma prevede una diminuzione di pena non quantificata (e dunque, parrebbe,ex art. 65 c.p., da un giorno ad 1/3 della pena prevista per la condotta di promozione e costituzione)</w:t>
      </w:r>
      <w:r w:rsidRPr="00672D1B">
        <w:t xml:space="preserve"> </w:t>
      </w:r>
      <w:r>
        <w:t>la cornice edittale è quindi ricompresa tra un minimo di due anni ed un massimo di 5 anni, 11 mesi e 29 giorni.</w:t>
      </w:r>
    </w:p>
    <w:p w:rsidR="008E7C1B" w:rsidRPr="00D51919" w:rsidRDefault="00EC30DE" w:rsidP="00057C35">
      <w:pPr>
        <w:pStyle w:val="Paragrafoelenco"/>
        <w:numPr>
          <w:ilvl w:val="0"/>
          <w:numId w:val="1"/>
        </w:numPr>
        <w:rPr>
          <w:sz w:val="28"/>
          <w:szCs w:val="28"/>
        </w:rPr>
      </w:pPr>
      <w:r>
        <w:t>Più segnatamente</w:t>
      </w:r>
      <w:r w:rsidR="008E7C1B">
        <w:t xml:space="preserve"> la pretesa punitiva dello Stato e la tutela ai beni giuridici protetti sarebbe già fornita dall'art. 633 </w:t>
      </w:r>
      <w:proofErr w:type="spellStart"/>
      <w:r w:rsidR="008E7C1B">
        <w:t>c.p.-</w:t>
      </w:r>
      <w:proofErr w:type="spellEnd"/>
      <w:r w:rsidR="008E7C1B">
        <w:t xml:space="preserve"> Tale reato è punibile a querela della persona offesa nella configurazione semplice con la reclusione da uno a tre anni e con la multa da 103,00 a 1.032,00 euro. Nella configurazione aggravata, che si realizza quando il fatto è commesso da più di cinque persone ovvero da persona palesemente armata, è perseguibile d'ufficio ed è punibile con la pena da 2 a 4 anni e della multa da 206,00 a 2.064,00 euro; se il fatto, poi, è commesso da due o più persone, la pena per i promotori o gli organizzatori è aumentata.</w:t>
      </w:r>
      <w:r>
        <w:t xml:space="preserve"> Pertanto  appare superfluo intervenire con una nuova tipologia di reato.</w:t>
      </w:r>
      <w:r w:rsidR="006518B8">
        <w:t xml:space="preserve"> </w:t>
      </w:r>
    </w:p>
    <w:p w:rsidR="00D51919" w:rsidRPr="008B4042" w:rsidRDefault="008B4042" w:rsidP="008B4042">
      <w:pPr>
        <w:pStyle w:val="Paragrafoelenco"/>
        <w:numPr>
          <w:ilvl w:val="0"/>
          <w:numId w:val="1"/>
        </w:numPr>
        <w:rPr>
          <w:sz w:val="28"/>
          <w:szCs w:val="28"/>
        </w:rPr>
      </w:pPr>
      <w:r>
        <w:lastRenderedPageBreak/>
        <w:t xml:space="preserve">Va evidenziato, inoltre, </w:t>
      </w:r>
      <w:r w:rsidR="00D51919">
        <w:t>che i rave party sono eventi di trattenimento, che rientrano in una disciplina particolare, riten</w:t>
      </w:r>
      <w:r w:rsidR="00676C3D">
        <w:t xml:space="preserve">uta conforme alla Costituzione </w:t>
      </w:r>
      <w:r w:rsidR="00D51919">
        <w:t>e che nulla hanno in comune con il diritto di riunione di cui all'art. 17 Cost., in quanto propongono problemi di sicurezza e di tutela dell'incolumità individuale del tutto peculiari.</w:t>
      </w:r>
      <w:r>
        <w:t xml:space="preserve"> </w:t>
      </w:r>
      <w:r w:rsidR="00676C3D">
        <w:t>I rave party, infatti</w:t>
      </w:r>
      <w:r w:rsidR="00D51919">
        <w:t>, nella maggior parte dei casi sono organizzati clandestinamente proprio allo scopo di evitare il controllo delle autorità in ordine alle condizioni di sicurezza e di incolumità pubblica in cui qualsiasi manifestazione, anche e soprattutto di trattenimento, deve svolgersi</w:t>
      </w:r>
      <w:r w:rsidR="009C1258">
        <w:t>.</w:t>
      </w:r>
    </w:p>
    <w:p w:rsidR="00B62F7D" w:rsidRPr="00C37F2E" w:rsidRDefault="006963D8" w:rsidP="006963D8">
      <w:pPr>
        <w:rPr>
          <w:b/>
          <w:sz w:val="28"/>
          <w:szCs w:val="28"/>
        </w:rPr>
      </w:pPr>
      <w:r w:rsidRPr="00C37F2E">
        <w:rPr>
          <w:b/>
          <w:sz w:val="28"/>
          <w:szCs w:val="28"/>
        </w:rPr>
        <w:t>Si presentano pertanto le seguenti modif</w:t>
      </w:r>
      <w:r w:rsidR="0067625B">
        <w:rPr>
          <w:b/>
          <w:sz w:val="28"/>
          <w:szCs w:val="28"/>
        </w:rPr>
        <w:t xml:space="preserve">iche al testo di cui al </w:t>
      </w:r>
      <w:proofErr w:type="spellStart"/>
      <w:r w:rsidR="0067625B">
        <w:rPr>
          <w:b/>
          <w:sz w:val="28"/>
          <w:szCs w:val="28"/>
        </w:rPr>
        <w:t>D.L</w:t>
      </w:r>
      <w:proofErr w:type="spellEnd"/>
      <w:r w:rsidR="0067625B">
        <w:rPr>
          <w:b/>
          <w:sz w:val="28"/>
          <w:szCs w:val="28"/>
        </w:rPr>
        <w:t xml:space="preserve"> n.16</w:t>
      </w:r>
      <w:r w:rsidRPr="00C37F2E">
        <w:rPr>
          <w:b/>
          <w:sz w:val="28"/>
          <w:szCs w:val="28"/>
        </w:rPr>
        <w:t>2 del 31 ottobre 20</w:t>
      </w:r>
      <w:r w:rsidR="00770B74" w:rsidRPr="00C37F2E">
        <w:rPr>
          <w:b/>
          <w:sz w:val="28"/>
          <w:szCs w:val="28"/>
        </w:rPr>
        <w:t>22:</w:t>
      </w:r>
    </w:p>
    <w:p w:rsidR="00372F3E" w:rsidRDefault="00372F3E" w:rsidP="006963D8">
      <w:pPr>
        <w:rPr>
          <w:sz w:val="28"/>
          <w:szCs w:val="28"/>
        </w:rPr>
      </w:pPr>
    </w:p>
    <w:p w:rsidR="00AB2602" w:rsidRDefault="00C37F2E" w:rsidP="00097D6A">
      <w:pPr>
        <w:rPr>
          <w:i/>
        </w:rPr>
      </w:pPr>
      <w:r w:rsidRPr="00C37F2E">
        <w:rPr>
          <w:b/>
        </w:rPr>
        <w:t>art.434bis</w:t>
      </w:r>
      <w:r>
        <w:rPr>
          <w:b/>
        </w:rPr>
        <w:t xml:space="preserve"> </w:t>
      </w:r>
      <w:r w:rsidR="00372F3E">
        <w:t>«</w:t>
      </w:r>
      <w:r w:rsidR="00372F3E" w:rsidRPr="00C727AE">
        <w:rPr>
          <w:i/>
        </w:rPr>
        <w:t>L'invasione di terreni o edifici per raduni p</w:t>
      </w:r>
      <w:r w:rsidR="00372F3E">
        <w:rPr>
          <w:i/>
        </w:rPr>
        <w:t>ericolosi per l</w:t>
      </w:r>
      <w:r w:rsidR="00372F3E" w:rsidRPr="00C727AE">
        <w:rPr>
          <w:i/>
        </w:rPr>
        <w:t xml:space="preserve">'incolumità pubblica o la salute pubblica consiste nell'invasione arbitraria di terreni o edifici altrui, pubblici o privati, commessa da un numero di persone superiore a cinquanta, allo scopo di organizzare un raduno, </w:t>
      </w:r>
      <w:r w:rsidR="00C55A4B">
        <w:rPr>
          <w:i/>
        </w:rPr>
        <w:t xml:space="preserve">quando sussiste l’effettivo pericolo  per </w:t>
      </w:r>
      <w:r w:rsidR="00372F3E" w:rsidRPr="00C727AE">
        <w:rPr>
          <w:i/>
        </w:rPr>
        <w:t xml:space="preserve">l'incolumità pubblica o la salute pubblica. </w:t>
      </w:r>
    </w:p>
    <w:p w:rsidR="00097D6A" w:rsidRDefault="00C37F2E" w:rsidP="00097D6A">
      <w:pPr>
        <w:rPr>
          <w:sz w:val="28"/>
          <w:szCs w:val="28"/>
        </w:rPr>
      </w:pPr>
      <w:r w:rsidRPr="00C37F2E">
        <w:rPr>
          <w:b/>
          <w:i/>
        </w:rPr>
        <w:t>Comma1</w:t>
      </w:r>
      <w:r>
        <w:rPr>
          <w:b/>
          <w:i/>
        </w:rPr>
        <w:t xml:space="preserve"> </w:t>
      </w:r>
      <w:r w:rsidR="00372F3E" w:rsidRPr="00C727AE">
        <w:rPr>
          <w:i/>
        </w:rPr>
        <w:t>Chiunque organizza o promuove l'invasione di cui al primo comma è punito con la pena dell</w:t>
      </w:r>
      <w:r w:rsidR="00C55A4B">
        <w:rPr>
          <w:i/>
        </w:rPr>
        <w:t>a reclusione fino a due anni</w:t>
      </w:r>
      <w:r w:rsidR="00372F3E" w:rsidRPr="00C727AE">
        <w:rPr>
          <w:i/>
        </w:rPr>
        <w:t xml:space="preserve"> con la m</w:t>
      </w:r>
      <w:r w:rsidR="00C55A4B">
        <w:rPr>
          <w:i/>
        </w:rPr>
        <w:t>ulta da euro 1.000 a euro 5.000</w:t>
      </w:r>
      <w:r w:rsidR="00555ACB">
        <w:rPr>
          <w:i/>
        </w:rPr>
        <w:t>. Per  i partecipanti all’evento è sempre applicabile</w:t>
      </w:r>
      <w:r w:rsidR="001711DA">
        <w:rPr>
          <w:i/>
        </w:rPr>
        <w:t xml:space="preserve"> </w:t>
      </w:r>
      <w:r w:rsidR="00555ACB">
        <w:rPr>
          <w:i/>
        </w:rPr>
        <w:t xml:space="preserve"> l’art. 65 </w:t>
      </w:r>
      <w:proofErr w:type="spellStart"/>
      <w:r w:rsidR="00555ACB">
        <w:rPr>
          <w:i/>
        </w:rPr>
        <w:t>c.p</w:t>
      </w:r>
      <w:proofErr w:type="spellEnd"/>
      <w:r w:rsidR="00555ACB">
        <w:rPr>
          <w:i/>
        </w:rPr>
        <w:t xml:space="preserve"> </w:t>
      </w:r>
      <w:r w:rsidR="00A31E1E">
        <w:rPr>
          <w:i/>
        </w:rPr>
        <w:t>.</w:t>
      </w:r>
      <w:r w:rsidR="00372F3E" w:rsidRPr="00C727AE">
        <w:rPr>
          <w:i/>
        </w:rPr>
        <w:t>».</w:t>
      </w:r>
      <w:r w:rsidR="00097D6A" w:rsidRPr="00097D6A">
        <w:rPr>
          <w:i/>
        </w:rPr>
        <w:t xml:space="preserve"> </w:t>
      </w:r>
      <w:r w:rsidR="00ED1073">
        <w:rPr>
          <w:i/>
        </w:rPr>
        <w:t xml:space="preserve">E' sempre ordinato </w:t>
      </w:r>
      <w:r w:rsidR="00097D6A">
        <w:rPr>
          <w:i/>
        </w:rPr>
        <w:t xml:space="preserve"> il sequestro</w:t>
      </w:r>
      <w:r w:rsidR="00097D6A" w:rsidRPr="00C727AE">
        <w:rPr>
          <w:i/>
        </w:rPr>
        <w:t xml:space="preserve"> ai sensi d</w:t>
      </w:r>
      <w:r w:rsidR="00AB2602">
        <w:rPr>
          <w:i/>
        </w:rPr>
        <w:t>ell'art</w:t>
      </w:r>
      <w:r w:rsidR="00097D6A" w:rsidRPr="00C727AE">
        <w:rPr>
          <w:i/>
        </w:rPr>
        <w:t xml:space="preserve"> </w:t>
      </w:r>
      <w:r w:rsidR="00AB2602">
        <w:rPr>
          <w:rFonts w:ascii="Arial" w:hAnsi="Arial" w:cs="Arial"/>
          <w:color w:val="666666"/>
          <w:sz w:val="21"/>
          <w:szCs w:val="21"/>
          <w:shd w:val="clear" w:color="auto" w:fill="FFFFFF"/>
        </w:rPr>
        <w:t xml:space="preserve"> </w:t>
      </w:r>
      <w:r w:rsidR="00AB2602" w:rsidRPr="00AB2602">
        <w:rPr>
          <w:rFonts w:ascii="Arial" w:hAnsi="Arial" w:cs="Arial"/>
          <w:b/>
          <w:color w:val="666666"/>
          <w:sz w:val="21"/>
          <w:szCs w:val="21"/>
          <w:shd w:val="clear" w:color="auto" w:fill="FFFFFF"/>
        </w:rPr>
        <w:t xml:space="preserve">316 </w:t>
      </w:r>
      <w:proofErr w:type="spellStart"/>
      <w:r w:rsidR="00AB2602" w:rsidRPr="00AB2602">
        <w:rPr>
          <w:rFonts w:ascii="Arial" w:hAnsi="Arial" w:cs="Arial"/>
          <w:b/>
          <w:color w:val="666666"/>
          <w:sz w:val="21"/>
          <w:szCs w:val="21"/>
          <w:shd w:val="clear" w:color="auto" w:fill="FFFFFF"/>
        </w:rPr>
        <w:t>c.p.p</w:t>
      </w:r>
      <w:r w:rsidR="00AB2602">
        <w:rPr>
          <w:rFonts w:ascii="Arial" w:hAnsi="Arial" w:cs="Arial"/>
          <w:color w:val="666666"/>
          <w:sz w:val="21"/>
          <w:szCs w:val="21"/>
          <w:shd w:val="clear" w:color="auto" w:fill="FFFFFF"/>
        </w:rPr>
        <w:t>.</w:t>
      </w:r>
      <w:proofErr w:type="spellEnd"/>
      <w:r>
        <w:rPr>
          <w:rFonts w:ascii="Arial" w:hAnsi="Arial" w:cs="Arial"/>
          <w:color w:val="666666"/>
          <w:sz w:val="21"/>
          <w:szCs w:val="21"/>
          <w:shd w:val="clear" w:color="auto" w:fill="FFFFFF"/>
        </w:rPr>
        <w:t xml:space="preserve"> </w:t>
      </w:r>
      <w:r w:rsidR="00097D6A" w:rsidRPr="00C727AE">
        <w:rPr>
          <w:i/>
        </w:rPr>
        <w:t xml:space="preserve"> delle cose che servirono o furono destinate a commettere il reato di cui al primo comma nonché di quelle utilizzate nei medesimi casi per realizzare le finalità dell'occupazione».</w:t>
      </w:r>
      <w:r w:rsidR="00097D6A">
        <w:t xml:space="preserve"> </w:t>
      </w:r>
    </w:p>
    <w:p w:rsidR="00372F3E" w:rsidRDefault="00372F3E" w:rsidP="00372F3E">
      <w:pPr>
        <w:rPr>
          <w:sz w:val="28"/>
          <w:szCs w:val="28"/>
        </w:rPr>
      </w:pPr>
      <w:r>
        <w:t xml:space="preserve"> </w:t>
      </w:r>
    </w:p>
    <w:p w:rsidR="00372F3E" w:rsidRDefault="002728F6" w:rsidP="006963D8">
      <w:pPr>
        <w:rPr>
          <w:sz w:val="28"/>
          <w:szCs w:val="28"/>
        </w:rPr>
      </w:pPr>
      <w:r>
        <w:rPr>
          <w:sz w:val="28"/>
          <w:szCs w:val="28"/>
        </w:rPr>
        <w:t>Bibliografia:</w:t>
      </w:r>
    </w:p>
    <w:p w:rsidR="002728F6" w:rsidRPr="00173A68" w:rsidRDefault="00651167" w:rsidP="006963D8">
      <w:r>
        <w:t>C. Ruga Riva, “</w:t>
      </w:r>
      <w:r w:rsidR="002728F6" w:rsidRPr="00173A68">
        <w:rPr>
          <w:i/>
        </w:rPr>
        <w:t xml:space="preserve"> </w:t>
      </w:r>
      <w:r w:rsidR="00F93CF9" w:rsidRPr="00173A68">
        <w:rPr>
          <w:i/>
        </w:rPr>
        <w:t>la festa è finita.</w:t>
      </w:r>
      <w:r w:rsidR="00F93CF9" w:rsidRPr="00173A68">
        <w:t xml:space="preserve"> </w:t>
      </w:r>
      <w:r w:rsidR="00F93CF9" w:rsidRPr="00173A68">
        <w:rPr>
          <w:i/>
        </w:rPr>
        <w:t xml:space="preserve">Prime osservazioni </w:t>
      </w:r>
      <w:r>
        <w:rPr>
          <w:i/>
        </w:rPr>
        <w:t xml:space="preserve"> </w:t>
      </w:r>
      <w:proofErr w:type="spellStart"/>
      <w:r>
        <w:rPr>
          <w:i/>
        </w:rPr>
        <w:t>sulla</w:t>
      </w:r>
      <w:r w:rsidR="002728F6" w:rsidRPr="00173A68">
        <w:rPr>
          <w:i/>
        </w:rPr>
        <w:t>fattispecie</w:t>
      </w:r>
      <w:proofErr w:type="spellEnd"/>
      <w:r w:rsidR="002728F6" w:rsidRPr="00173A68">
        <w:rPr>
          <w:i/>
        </w:rPr>
        <w:t xml:space="preserve"> che incrimina i</w:t>
      </w:r>
      <w:r w:rsidR="002728F6" w:rsidRPr="00173A68">
        <w:t xml:space="preserve">  </w:t>
      </w:r>
      <w:r w:rsidR="00F93CF9" w:rsidRPr="00173A68">
        <w:rPr>
          <w:i/>
        </w:rPr>
        <w:t>“</w:t>
      </w:r>
      <w:r w:rsidR="002728F6" w:rsidRPr="00173A68">
        <w:rPr>
          <w:i/>
        </w:rPr>
        <w:t>rave part</w:t>
      </w:r>
      <w:r w:rsidR="00F93CF9" w:rsidRPr="00173A68">
        <w:rPr>
          <w:i/>
        </w:rPr>
        <w:t>y</w:t>
      </w:r>
      <w:r w:rsidR="002728F6" w:rsidRPr="00173A68">
        <w:rPr>
          <w:i/>
        </w:rPr>
        <w:t>”</w:t>
      </w:r>
      <w:r w:rsidR="002728F6" w:rsidRPr="00173A68">
        <w:t xml:space="preserve"> in </w:t>
      </w:r>
      <w:proofErr w:type="spellStart"/>
      <w:r w:rsidR="002728F6" w:rsidRPr="00173A68">
        <w:t>Sist</w:t>
      </w:r>
      <w:proofErr w:type="spellEnd"/>
      <w:r w:rsidR="002728F6" w:rsidRPr="00173A68">
        <w:t xml:space="preserve">. </w:t>
      </w:r>
      <w:proofErr w:type="spellStart"/>
      <w:r w:rsidR="002728F6" w:rsidRPr="00173A68">
        <w:t>Pen</w:t>
      </w:r>
      <w:proofErr w:type="spellEnd"/>
      <w:r w:rsidR="002728F6" w:rsidRPr="00173A68">
        <w:t>, 03.11.2022</w:t>
      </w:r>
    </w:p>
    <w:p w:rsidR="002728F6" w:rsidRPr="00173A68" w:rsidRDefault="002728F6" w:rsidP="006963D8">
      <w:r w:rsidRPr="00173A68">
        <w:t>A. Cavaliere, l’art</w:t>
      </w:r>
      <w:r w:rsidR="00F93CF9" w:rsidRPr="00173A68">
        <w:t>.</w:t>
      </w:r>
      <w:r w:rsidRPr="00173A68">
        <w:t xml:space="preserve">5 </w:t>
      </w:r>
      <w:proofErr w:type="spellStart"/>
      <w:r w:rsidRPr="00173A68">
        <w:t>d.l</w:t>
      </w:r>
      <w:proofErr w:type="spellEnd"/>
      <w:r w:rsidRPr="00173A68">
        <w:t xml:space="preserve"> 31 ottobre 2022 N.162: “</w:t>
      </w:r>
      <w:r w:rsidRPr="00173A68">
        <w:rPr>
          <w:i/>
        </w:rPr>
        <w:t>Tolleranza zero contro le folle pericolose degli invasori dei terreni ed edifici</w:t>
      </w:r>
      <w:r w:rsidRPr="00173A68">
        <w:t>, in Penale Diritto e Procedura 02-11.2022</w:t>
      </w:r>
    </w:p>
    <w:p w:rsidR="002728F6" w:rsidRPr="00173A68" w:rsidRDefault="00F93CF9" w:rsidP="002728F6">
      <w:r w:rsidRPr="00173A68">
        <w:t>M. R</w:t>
      </w:r>
      <w:r w:rsidR="002728F6" w:rsidRPr="00173A68">
        <w:t>onco</w:t>
      </w:r>
      <w:r w:rsidR="002728F6" w:rsidRPr="00173A68">
        <w:rPr>
          <w:i/>
        </w:rPr>
        <w:t>, Rave party e risposta penale</w:t>
      </w:r>
      <w:r w:rsidR="002728F6" w:rsidRPr="00173A68">
        <w:t xml:space="preserve">, in </w:t>
      </w:r>
      <w:r w:rsidRPr="00173A68">
        <w:t xml:space="preserve">Centro Studi, Rosario </w:t>
      </w:r>
      <w:proofErr w:type="spellStart"/>
      <w:r w:rsidRPr="00173A68">
        <w:t>L</w:t>
      </w:r>
      <w:r w:rsidR="002728F6" w:rsidRPr="00173A68">
        <w:t>ivatino</w:t>
      </w:r>
      <w:proofErr w:type="spellEnd"/>
      <w:r w:rsidRPr="00173A68">
        <w:t>, 02.11.2022</w:t>
      </w:r>
    </w:p>
    <w:p w:rsidR="00F93CF9" w:rsidRPr="00173A68" w:rsidRDefault="00F93CF9" w:rsidP="002728F6">
      <w:r w:rsidRPr="00173A68">
        <w:t>Giurisprudenza:</w:t>
      </w:r>
    </w:p>
    <w:p w:rsidR="00F93CF9" w:rsidRDefault="00F93CF9" w:rsidP="002728F6">
      <w:r w:rsidRPr="00173A68">
        <w:t>Corte. Cost.,27.03.1987 n.77</w:t>
      </w:r>
    </w:p>
    <w:p w:rsidR="00651167" w:rsidRPr="00173A68" w:rsidRDefault="000D72FC" w:rsidP="002728F6">
      <w:r>
        <w:t>Fonti normative:</w:t>
      </w:r>
    </w:p>
    <w:p w:rsidR="00F93CF9" w:rsidRPr="00173A68" w:rsidRDefault="00173A68" w:rsidP="002728F6">
      <w:pPr>
        <w:rPr>
          <w:i/>
        </w:rPr>
      </w:pPr>
      <w:proofErr w:type="spellStart"/>
      <w:r w:rsidRPr="00173A68">
        <w:t>D.l.g</w:t>
      </w:r>
      <w:proofErr w:type="spellEnd"/>
      <w:r w:rsidR="00F93CF9" w:rsidRPr="00173A68">
        <w:t>.10.10.2022 n.150 attuativo della L</w:t>
      </w:r>
      <w:r w:rsidRPr="00173A68">
        <w:t>.134.</w:t>
      </w:r>
      <w:r w:rsidR="00F93CF9" w:rsidRPr="00173A68">
        <w:t>2021</w:t>
      </w:r>
      <w:r w:rsidRPr="00173A68">
        <w:t xml:space="preserve"> </w:t>
      </w:r>
      <w:r w:rsidR="00A86EB3">
        <w:t>“</w:t>
      </w:r>
      <w:r w:rsidR="000D72FC">
        <w:rPr>
          <w:i/>
        </w:rPr>
        <w:t>recante delega al G</w:t>
      </w:r>
      <w:r w:rsidRPr="00173A68">
        <w:rPr>
          <w:i/>
        </w:rPr>
        <w:t>overno per l’efficienza del processo penale, nonché  in materia di gi</w:t>
      </w:r>
      <w:r w:rsidR="000D72FC">
        <w:rPr>
          <w:i/>
        </w:rPr>
        <w:t>ustizia ripartiva e disposizioni</w:t>
      </w:r>
      <w:r w:rsidRPr="00173A68">
        <w:rPr>
          <w:i/>
        </w:rPr>
        <w:t xml:space="preserve"> per la rapida definizione dei procedimenti giudiziari</w:t>
      </w:r>
      <w:r w:rsidR="00A86EB3">
        <w:rPr>
          <w:i/>
        </w:rPr>
        <w:t>”</w:t>
      </w:r>
    </w:p>
    <w:p w:rsidR="00173A68" w:rsidRDefault="00173A68" w:rsidP="002728F6">
      <w:pPr>
        <w:rPr>
          <w:sz w:val="28"/>
          <w:szCs w:val="28"/>
        </w:rPr>
      </w:pPr>
      <w:proofErr w:type="spellStart"/>
      <w:r>
        <w:rPr>
          <w:sz w:val="28"/>
          <w:szCs w:val="28"/>
        </w:rPr>
        <w:t>Sitografia</w:t>
      </w:r>
      <w:proofErr w:type="spellEnd"/>
      <w:r>
        <w:rPr>
          <w:sz w:val="28"/>
          <w:szCs w:val="28"/>
        </w:rPr>
        <w:t>:</w:t>
      </w:r>
    </w:p>
    <w:p w:rsidR="00173A68" w:rsidRPr="00173A68" w:rsidRDefault="00A86EB3" w:rsidP="002728F6">
      <w:pPr>
        <w:rPr>
          <w:b/>
          <w:i/>
          <w:sz w:val="24"/>
          <w:szCs w:val="24"/>
        </w:rPr>
      </w:pPr>
      <w:r>
        <w:rPr>
          <w:sz w:val="24"/>
          <w:szCs w:val="24"/>
        </w:rPr>
        <w:t xml:space="preserve">in </w:t>
      </w:r>
      <w:proofErr w:type="spellStart"/>
      <w:r w:rsidR="00173A68">
        <w:rPr>
          <w:sz w:val="24"/>
          <w:szCs w:val="24"/>
        </w:rPr>
        <w:t>Ius</w:t>
      </w:r>
      <w:proofErr w:type="spellEnd"/>
      <w:r w:rsidR="00173A68">
        <w:rPr>
          <w:sz w:val="24"/>
          <w:szCs w:val="24"/>
        </w:rPr>
        <w:t xml:space="preserve"> itinere</w:t>
      </w:r>
      <w:r w:rsidR="00173A68" w:rsidRPr="00A86EB3">
        <w:rPr>
          <w:i/>
          <w:sz w:val="24"/>
          <w:szCs w:val="24"/>
        </w:rPr>
        <w:t xml:space="preserve">: </w:t>
      </w:r>
      <w:r w:rsidR="000D72FC">
        <w:rPr>
          <w:i/>
          <w:sz w:val="24"/>
          <w:szCs w:val="24"/>
        </w:rPr>
        <w:t xml:space="preserve">Prime considerazioni circa il nuovo delitto </w:t>
      </w:r>
      <w:r w:rsidR="00173A68" w:rsidRPr="00A86EB3">
        <w:rPr>
          <w:i/>
          <w:sz w:val="24"/>
          <w:szCs w:val="24"/>
        </w:rPr>
        <w:t xml:space="preserve">ex art.434_bis </w:t>
      </w:r>
      <w:proofErr w:type="spellStart"/>
      <w:r w:rsidR="00173A68" w:rsidRPr="00A86EB3">
        <w:rPr>
          <w:i/>
          <w:sz w:val="24"/>
          <w:szCs w:val="24"/>
        </w:rPr>
        <w:t>c.p</w:t>
      </w:r>
      <w:proofErr w:type="spellEnd"/>
    </w:p>
    <w:p w:rsidR="00E25BB7" w:rsidRDefault="00055C84">
      <w:pPr>
        <w:rPr>
          <w:sz w:val="28"/>
          <w:szCs w:val="28"/>
        </w:rPr>
      </w:pPr>
      <w:r>
        <w:rPr>
          <w:noProof/>
          <w:lang w:eastAsia="it-IT"/>
        </w:rPr>
        <w:lastRenderedPageBreak/>
        <w:drawing>
          <wp:inline distT="0" distB="0" distL="0" distR="0">
            <wp:extent cx="6120130" cy="4215854"/>
            <wp:effectExtent l="19050" t="0" r="0" b="0"/>
            <wp:docPr id="1" name="Immagine 2" descr="Rave party di Capodanno ad Arezzo: 500 ragazzi al radu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ve party di Capodanno ad Arezzo: 500 ragazzi al raduno ..."/>
                    <pic:cNvPicPr>
                      <a:picLocks noChangeAspect="1" noChangeArrowheads="1"/>
                    </pic:cNvPicPr>
                  </pic:nvPicPr>
                  <pic:blipFill>
                    <a:blip r:embed="rId11" cstate="print"/>
                    <a:srcRect/>
                    <a:stretch>
                      <a:fillRect/>
                    </a:stretch>
                  </pic:blipFill>
                  <pic:spPr bwMode="auto">
                    <a:xfrm>
                      <a:off x="0" y="0"/>
                      <a:ext cx="6120130" cy="4215854"/>
                    </a:xfrm>
                    <a:prstGeom prst="rect">
                      <a:avLst/>
                    </a:prstGeom>
                    <a:noFill/>
                    <a:ln w="9525">
                      <a:noFill/>
                      <a:miter lim="800000"/>
                      <a:headEnd/>
                      <a:tailEnd/>
                    </a:ln>
                  </pic:spPr>
                </pic:pic>
              </a:graphicData>
            </a:graphic>
          </wp:inline>
        </w:drawing>
      </w:r>
    </w:p>
    <w:p w:rsidR="00E25BB7" w:rsidRDefault="00E25BB7" w:rsidP="00E25BB7">
      <w:pPr>
        <w:rPr>
          <w:sz w:val="28"/>
          <w:szCs w:val="28"/>
        </w:rPr>
      </w:pPr>
    </w:p>
    <w:p w:rsidR="00376BCD" w:rsidRPr="00E25BB7" w:rsidRDefault="00E25BB7" w:rsidP="00E25BB7">
      <w:pPr>
        <w:rPr>
          <w:sz w:val="28"/>
          <w:szCs w:val="28"/>
        </w:rPr>
      </w:pPr>
      <w:r>
        <w:rPr>
          <w:noProof/>
          <w:lang w:eastAsia="it-IT"/>
        </w:rPr>
        <w:drawing>
          <wp:inline distT="0" distB="0" distL="0" distR="0">
            <wp:extent cx="5829300" cy="3876675"/>
            <wp:effectExtent l="19050" t="0" r="0" b="0"/>
            <wp:docPr id="3" name="Immagine 2" descr="19.479 foto e immagini di Rave Party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479 foto e immagini di Rave Party - Getty Images"/>
                    <pic:cNvPicPr>
                      <a:picLocks noChangeAspect="1" noChangeArrowheads="1"/>
                    </pic:cNvPicPr>
                  </pic:nvPicPr>
                  <pic:blipFill>
                    <a:blip r:embed="rId12" cstate="print"/>
                    <a:srcRect/>
                    <a:stretch>
                      <a:fillRect/>
                    </a:stretch>
                  </pic:blipFill>
                  <pic:spPr bwMode="auto">
                    <a:xfrm>
                      <a:off x="0" y="0"/>
                      <a:ext cx="5829300" cy="3876675"/>
                    </a:xfrm>
                    <a:prstGeom prst="rect">
                      <a:avLst/>
                    </a:prstGeom>
                    <a:noFill/>
                    <a:ln w="9525">
                      <a:noFill/>
                      <a:miter lim="800000"/>
                      <a:headEnd/>
                      <a:tailEnd/>
                    </a:ln>
                  </pic:spPr>
                </pic:pic>
              </a:graphicData>
            </a:graphic>
          </wp:inline>
        </w:drawing>
      </w:r>
    </w:p>
    <w:sectPr w:rsidR="00376BCD" w:rsidRPr="00E25BB7" w:rsidSect="00376B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E275F"/>
    <w:multiLevelType w:val="hybridMultilevel"/>
    <w:tmpl w:val="4216CB3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1037E"/>
    <w:rsid w:val="00055C84"/>
    <w:rsid w:val="00057C35"/>
    <w:rsid w:val="00080762"/>
    <w:rsid w:val="00097D6A"/>
    <w:rsid w:val="000B54A8"/>
    <w:rsid w:val="000C09E6"/>
    <w:rsid w:val="000D72FC"/>
    <w:rsid w:val="00112DA5"/>
    <w:rsid w:val="00151193"/>
    <w:rsid w:val="00161DC4"/>
    <w:rsid w:val="001711DA"/>
    <w:rsid w:val="00173A68"/>
    <w:rsid w:val="001B0607"/>
    <w:rsid w:val="001E7C1D"/>
    <w:rsid w:val="001F0EF0"/>
    <w:rsid w:val="001F572E"/>
    <w:rsid w:val="002728F6"/>
    <w:rsid w:val="002E5606"/>
    <w:rsid w:val="002E560A"/>
    <w:rsid w:val="00315FF4"/>
    <w:rsid w:val="00372F3E"/>
    <w:rsid w:val="00376BCD"/>
    <w:rsid w:val="00436452"/>
    <w:rsid w:val="00473575"/>
    <w:rsid w:val="00475BC2"/>
    <w:rsid w:val="004B0DCD"/>
    <w:rsid w:val="004D197C"/>
    <w:rsid w:val="00531FC8"/>
    <w:rsid w:val="00555ACB"/>
    <w:rsid w:val="00586850"/>
    <w:rsid w:val="005D3DA8"/>
    <w:rsid w:val="00637D0D"/>
    <w:rsid w:val="00651167"/>
    <w:rsid w:val="006518B8"/>
    <w:rsid w:val="00672D1B"/>
    <w:rsid w:val="0067625B"/>
    <w:rsid w:val="00676C3D"/>
    <w:rsid w:val="006963D8"/>
    <w:rsid w:val="006A639E"/>
    <w:rsid w:val="006E69D4"/>
    <w:rsid w:val="0073613C"/>
    <w:rsid w:val="00770B74"/>
    <w:rsid w:val="007C74B7"/>
    <w:rsid w:val="008B4042"/>
    <w:rsid w:val="008E110A"/>
    <w:rsid w:val="008E7C1B"/>
    <w:rsid w:val="009C1258"/>
    <w:rsid w:val="009E72BD"/>
    <w:rsid w:val="00A1037E"/>
    <w:rsid w:val="00A31E1E"/>
    <w:rsid w:val="00A86EB3"/>
    <w:rsid w:val="00AA24F8"/>
    <w:rsid w:val="00AB026C"/>
    <w:rsid w:val="00AB2602"/>
    <w:rsid w:val="00AF2F95"/>
    <w:rsid w:val="00B62F7D"/>
    <w:rsid w:val="00C37F2E"/>
    <w:rsid w:val="00C55A4B"/>
    <w:rsid w:val="00C727AE"/>
    <w:rsid w:val="00C971C9"/>
    <w:rsid w:val="00D311E3"/>
    <w:rsid w:val="00D51919"/>
    <w:rsid w:val="00D54E86"/>
    <w:rsid w:val="00D73628"/>
    <w:rsid w:val="00D86DD5"/>
    <w:rsid w:val="00DC0C3D"/>
    <w:rsid w:val="00E03BC6"/>
    <w:rsid w:val="00E25BB7"/>
    <w:rsid w:val="00EB5B3F"/>
    <w:rsid w:val="00EC30DE"/>
    <w:rsid w:val="00ED1073"/>
    <w:rsid w:val="00EF4D6E"/>
    <w:rsid w:val="00F3091D"/>
    <w:rsid w:val="00F46679"/>
    <w:rsid w:val="00F6787A"/>
    <w:rsid w:val="00F93CF9"/>
    <w:rsid w:val="00F947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B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7C35"/>
    <w:pPr>
      <w:ind w:left="720"/>
      <w:contextualSpacing/>
    </w:pPr>
  </w:style>
  <w:style w:type="character" w:styleId="Collegamentoipertestuale">
    <w:name w:val="Hyperlink"/>
    <w:basedOn w:val="Carpredefinitoparagrafo"/>
    <w:uiPriority w:val="99"/>
    <w:semiHidden/>
    <w:unhideWhenUsed/>
    <w:rsid w:val="001F0E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27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S00100R@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jpeg"/><Relationship Id="rId5" Type="http://schemas.openxmlformats.org/officeDocument/2006/relationships/image" Target="media/image1.wmf"/><Relationship Id="rId10" Type="http://schemas.openxmlformats.org/officeDocument/2006/relationships/hyperlink" Target="http://www.iisramadu.edu.it" TargetMode="External"/><Relationship Id="rId4" Type="http://schemas.openxmlformats.org/officeDocument/2006/relationships/webSettings" Target="webSettings.xml"/><Relationship Id="rId9" Type="http://schemas.openxmlformats.org/officeDocument/2006/relationships/hyperlink" Target="mailto:LTIS00100R@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2023-12-04T19:24:00Z</dcterms:created>
  <dcterms:modified xsi:type="dcterms:W3CDTF">2023-12-04T19:24:00Z</dcterms:modified>
</cp:coreProperties>
</file>