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2629535</wp:posOffset>
            </wp:positionH>
            <wp:positionV relativeFrom="paragraph">
              <wp:posOffset>0</wp:posOffset>
            </wp:positionV>
            <wp:extent cx="570865" cy="80899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0865" cy="80899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Myriad Roman" w:cs="Myriad Roman" w:eastAsia="Myriad Roman" w:hAnsi="Myriad Roman"/>
          <w:b w:val="1"/>
          <w:i w:val="1"/>
          <w:color w:val="1f497d"/>
          <w:sz w:val="50"/>
          <w:szCs w:val="50"/>
        </w:rPr>
      </w:pPr>
      <w:r w:rsidDel="00000000" w:rsidR="00000000" w:rsidRPr="00000000">
        <w:rPr>
          <w:rFonts w:ascii="Myriad Roman" w:cs="Myriad Roman" w:eastAsia="Myriad Roman" w:hAnsi="Myriad Roman"/>
          <w:color w:val="211d1e"/>
          <w:sz w:val="20"/>
          <w:szCs w:val="20"/>
          <w:rtl w:val="0"/>
        </w:rPr>
        <w:t xml:space="preserve">ISTITUTO PROFESSIONALE SERVIZI SOCIO SANITARI</w:t>
      </w:r>
      <w:r w:rsidDel="00000000" w:rsidR="00000000" w:rsidRPr="00000000">
        <w:rPr>
          <w:rtl w:val="0"/>
        </w:rPr>
      </w:r>
    </w:p>
    <w:p w:rsidR="00000000" w:rsidDel="00000000" w:rsidP="00000000" w:rsidRDefault="00000000" w:rsidRPr="00000000" w14:paraId="00000007">
      <w:pPr>
        <w:widowControl w:val="0"/>
        <w:spacing w:line="240" w:lineRule="auto"/>
        <w:jc w:val="center"/>
        <w:rPr>
          <w:rFonts w:ascii="Myriad Roman" w:cs="Myriad Roman" w:eastAsia="Myriad Roman" w:hAnsi="Myriad Roman"/>
          <w:b w:val="1"/>
          <w:color w:val="211d1e"/>
          <w:sz w:val="20"/>
          <w:szCs w:val="20"/>
        </w:rPr>
      </w:pPr>
      <w:r w:rsidDel="00000000" w:rsidR="00000000" w:rsidRPr="00000000">
        <w:rPr>
          <w:rFonts w:ascii="Myriad Roman" w:cs="Myriad Roman" w:eastAsia="Myriad Roman" w:hAnsi="Myriad Roman"/>
          <w:b w:val="1"/>
          <w:i w:val="1"/>
          <w:color w:val="1f497d"/>
          <w:sz w:val="52"/>
          <w:szCs w:val="52"/>
          <w:rtl w:val="0"/>
        </w:rPr>
        <w:t xml:space="preserve"> “GALVANI - IODI”</w:t>
      </w:r>
      <w:r w:rsidDel="00000000" w:rsidR="00000000" w:rsidRPr="00000000">
        <w:rPr>
          <w:rtl w:val="0"/>
        </w:rPr>
      </w:r>
    </w:p>
    <w:p w:rsidR="00000000" w:rsidDel="00000000" w:rsidP="00000000" w:rsidRDefault="00000000" w:rsidRPr="00000000" w14:paraId="00000008">
      <w:pPr>
        <w:widowControl w:val="0"/>
        <w:spacing w:line="240" w:lineRule="auto"/>
        <w:jc w:val="center"/>
        <w:rPr>
          <w:rFonts w:ascii="Myriad Roman" w:cs="Myriad Roman" w:eastAsia="Myriad Roman" w:hAnsi="Myriad Roman"/>
          <w:color w:val="211d1e"/>
          <w:sz w:val="20"/>
          <w:szCs w:val="20"/>
          <w:u w:val="single"/>
        </w:rPr>
      </w:pPr>
      <w:r w:rsidDel="00000000" w:rsidR="00000000" w:rsidRPr="00000000">
        <w:rPr>
          <w:rFonts w:ascii="Myriad Roman" w:cs="Myriad Roman" w:eastAsia="Myriad Roman" w:hAnsi="Myriad Roman"/>
          <w:b w:val="1"/>
          <w:color w:val="211d1e"/>
          <w:sz w:val="20"/>
          <w:szCs w:val="20"/>
          <w:rtl w:val="0"/>
        </w:rPr>
        <w:t xml:space="preserve">Sede:</w:t>
      </w:r>
      <w:r w:rsidDel="00000000" w:rsidR="00000000" w:rsidRPr="00000000">
        <w:rPr>
          <w:rFonts w:ascii="Myriad Roman" w:cs="Myriad Roman" w:eastAsia="Myriad Roman" w:hAnsi="Myriad Roman"/>
          <w:color w:val="211d1e"/>
          <w:sz w:val="20"/>
          <w:szCs w:val="20"/>
          <w:rtl w:val="0"/>
        </w:rPr>
        <w:t xml:space="preserve"> Reggio Emilia Via della  Canalina, 21 – Cap. 42123 – Tel. </w:t>
      </w:r>
      <w:r w:rsidDel="00000000" w:rsidR="00000000" w:rsidRPr="00000000">
        <w:rPr>
          <w:rFonts w:ascii="Myriad Roman" w:cs="Myriad Roman" w:eastAsia="Myriad Roman" w:hAnsi="Myriad Roman"/>
          <w:b w:val="1"/>
          <w:color w:val="211d1e"/>
          <w:sz w:val="20"/>
          <w:szCs w:val="20"/>
          <w:rtl w:val="0"/>
        </w:rPr>
        <w:t xml:space="preserve">0522/325711</w:t>
      </w:r>
      <w:r w:rsidDel="00000000" w:rsidR="00000000" w:rsidRPr="00000000">
        <w:rPr>
          <w:rFonts w:ascii="Myriad Roman" w:cs="Myriad Roman" w:eastAsia="Myriad Roman" w:hAnsi="Myriad Roman"/>
          <w:color w:val="211d1e"/>
          <w:sz w:val="20"/>
          <w:szCs w:val="20"/>
          <w:rtl w:val="0"/>
        </w:rPr>
        <w:t xml:space="preserve">- 0522/</w:t>
      </w:r>
      <w:r w:rsidDel="00000000" w:rsidR="00000000" w:rsidRPr="00000000">
        <w:rPr>
          <w:rFonts w:ascii="Myriad Roman" w:cs="Myriad Roman" w:eastAsia="Myriad Roman" w:hAnsi="Myriad Roman"/>
          <w:b w:val="1"/>
          <w:color w:val="211d1e"/>
          <w:sz w:val="20"/>
          <w:szCs w:val="20"/>
          <w:rtl w:val="0"/>
        </w:rPr>
        <w:t xml:space="preserve">551019 F</w:t>
      </w:r>
      <w:r w:rsidDel="00000000" w:rsidR="00000000" w:rsidRPr="00000000">
        <w:rPr>
          <w:rFonts w:ascii="Myriad Roman" w:cs="Myriad Roman" w:eastAsia="Myriad Roman" w:hAnsi="Myriad Roman"/>
          <w:color w:val="211d1e"/>
          <w:sz w:val="20"/>
          <w:szCs w:val="20"/>
          <w:rtl w:val="0"/>
        </w:rPr>
        <w:t xml:space="preserve">ax </w:t>
      </w:r>
      <w:r w:rsidDel="00000000" w:rsidR="00000000" w:rsidRPr="00000000">
        <w:rPr>
          <w:rFonts w:ascii="Myriad Roman" w:cs="Myriad Roman" w:eastAsia="Myriad Roman" w:hAnsi="Myriad Roman"/>
          <w:b w:val="1"/>
          <w:color w:val="211d1e"/>
          <w:sz w:val="20"/>
          <w:szCs w:val="20"/>
          <w:rtl w:val="0"/>
        </w:rPr>
        <w:t xml:space="preserve">0522 29423</w:t>
      </w:r>
      <w:r w:rsidDel="00000000" w:rsidR="00000000" w:rsidRPr="00000000">
        <w:rPr>
          <w:rFonts w:ascii="Myriad Roman" w:cs="Myriad Roman" w:eastAsia="Myriad Roman" w:hAnsi="Myriad Roman"/>
          <w:sz w:val="20"/>
          <w:szCs w:val="20"/>
          <w:rtl w:val="0"/>
        </w:rPr>
        <w:t xml:space="preserve">3</w:t>
      </w:r>
      <w:r w:rsidDel="00000000" w:rsidR="00000000" w:rsidRPr="00000000">
        <w:rPr>
          <w:rtl w:val="0"/>
        </w:rPr>
      </w:r>
    </w:p>
    <w:p w:rsidR="00000000" w:rsidDel="00000000" w:rsidP="00000000" w:rsidRDefault="00000000" w:rsidRPr="00000000" w14:paraId="00000009">
      <w:pPr>
        <w:widowControl w:val="0"/>
        <w:spacing w:line="240" w:lineRule="auto"/>
        <w:jc w:val="center"/>
        <w:rPr>
          <w:rFonts w:ascii="Myriad Roman" w:cs="Myriad Roman" w:eastAsia="Myriad Roman" w:hAnsi="Myriad Roman"/>
          <w:sz w:val="24"/>
          <w:szCs w:val="24"/>
        </w:rPr>
      </w:pPr>
      <w:r w:rsidDel="00000000" w:rsidR="00000000" w:rsidRPr="00000000">
        <w:rPr>
          <w:rFonts w:ascii="Myriad Roman" w:cs="Myriad Roman" w:eastAsia="Myriad Roman" w:hAnsi="Myriad Roman"/>
          <w:color w:val="211d1e"/>
          <w:sz w:val="20"/>
          <w:szCs w:val="20"/>
          <w:u w:val="single"/>
          <w:rtl w:val="0"/>
        </w:rPr>
        <w:t xml:space="preserve">Sito Internet: </w:t>
      </w:r>
      <w:hyperlink r:id="rId7">
        <w:r w:rsidDel="00000000" w:rsidR="00000000" w:rsidRPr="00000000">
          <w:rPr>
            <w:rFonts w:ascii="Myriad Roman" w:cs="Myriad Roman" w:eastAsia="Myriad Roman" w:hAnsi="Myriad Roman"/>
            <w:i w:val="1"/>
            <w:color w:val="0000ff"/>
            <w:sz w:val="20"/>
            <w:szCs w:val="20"/>
            <w:u w:val="single"/>
            <w:rtl w:val="0"/>
          </w:rPr>
          <w:t xml:space="preserve">www.galvaniiodi.gov.it</w:t>
        </w:r>
      </w:hyperlink>
      <w:r w:rsidDel="00000000" w:rsidR="00000000" w:rsidRPr="00000000">
        <w:rPr>
          <w:rFonts w:ascii="Myriad Roman" w:cs="Myriad Roman" w:eastAsia="Myriad Roman" w:hAnsi="Myriad Roman"/>
          <w:i w:val="1"/>
          <w:color w:val="211d1e"/>
          <w:sz w:val="20"/>
          <w:szCs w:val="20"/>
          <w:u w:val="single"/>
          <w:rtl w:val="0"/>
        </w:rPr>
        <w:t xml:space="preserve"> </w:t>
      </w:r>
      <w:r w:rsidDel="00000000" w:rsidR="00000000" w:rsidRPr="00000000">
        <w:rPr>
          <w:rFonts w:ascii="Myriad Roman" w:cs="Myriad Roman" w:eastAsia="Myriad Roman" w:hAnsi="Myriad Roman"/>
          <w:color w:val="211d1e"/>
          <w:sz w:val="20"/>
          <w:szCs w:val="20"/>
          <w:u w:val="single"/>
          <w:rtl w:val="0"/>
        </w:rPr>
        <w:t xml:space="preserve"> – E mail: </w:t>
      </w:r>
      <w:hyperlink r:id="rId8">
        <w:r w:rsidDel="00000000" w:rsidR="00000000" w:rsidRPr="00000000">
          <w:rPr>
            <w:rFonts w:ascii="Myriad Roman" w:cs="Myriad Roman" w:eastAsia="Myriad Roman" w:hAnsi="Myriad Roman"/>
            <w:i w:val="1"/>
            <w:color w:val="0000ff"/>
            <w:sz w:val="20"/>
            <w:szCs w:val="20"/>
            <w:u w:val="single"/>
            <w:rtl w:val="0"/>
          </w:rPr>
          <w:t xml:space="preserve">RERI090008@PEC.ISTRUZIONE.IT</w:t>
        </w:r>
      </w:hyperlink>
      <w:r w:rsidDel="00000000" w:rsidR="00000000" w:rsidRPr="00000000">
        <w:rPr>
          <w:rFonts w:ascii="Myriad Roman" w:cs="Myriad Roman" w:eastAsia="Myriad Roman" w:hAnsi="Myriad Roman"/>
          <w:i w:val="1"/>
          <w:color w:val="211d1e"/>
          <w:sz w:val="20"/>
          <w:szCs w:val="20"/>
          <w:u w:val="single"/>
          <w:rtl w:val="0"/>
        </w:rPr>
        <w:t xml:space="preserve">  </w:t>
      </w:r>
      <w:r w:rsidDel="00000000" w:rsidR="00000000" w:rsidRPr="00000000">
        <w:rPr>
          <w:rFonts w:ascii="Myriad Roman" w:cs="Myriad Roman" w:eastAsia="Myriad Roman" w:hAnsi="Myriad Roman"/>
          <w:color w:val="211d1e"/>
          <w:sz w:val="20"/>
          <w:szCs w:val="20"/>
          <w:u w:val="single"/>
          <w:rtl w:val="0"/>
        </w:rPr>
        <w:t xml:space="preserve"> - Codice Fiscale: 91168510351</w:t>
      </w: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D">
      <w:pPr>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GIORNATE DI FORMAZIONE A MONTECITORIO</w:t>
      </w:r>
    </w:p>
    <w:p w:rsidR="00000000" w:rsidDel="00000000" w:rsidP="00000000" w:rsidRDefault="00000000" w:rsidRPr="00000000" w14:paraId="0000000E">
      <w:pPr>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a.s. 2022-2023</w:t>
      </w:r>
    </w:p>
    <w:p w:rsidR="00000000" w:rsidDel="00000000" w:rsidP="00000000" w:rsidRDefault="00000000" w:rsidRPr="00000000" w14:paraId="0000000F">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10">
      <w:pPr>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Dossier di documentazione</w:t>
      </w:r>
    </w:p>
    <w:p w:rsidR="00000000" w:rsidDel="00000000" w:rsidP="00000000" w:rsidRDefault="00000000" w:rsidRPr="00000000" w14:paraId="00000011">
      <w:pPr>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IL VOTO DEI CITTADINI ITALIANI ALL’ESTERO</w:t>
      </w:r>
    </w:p>
    <w:p w:rsidR="00000000" w:rsidDel="00000000" w:rsidP="00000000" w:rsidRDefault="00000000" w:rsidRPr="00000000" w14:paraId="00000012">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jc w:val="right"/>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Classi:</w:t>
      </w:r>
    </w:p>
    <w:p w:rsidR="00000000" w:rsidDel="00000000" w:rsidP="00000000" w:rsidRDefault="00000000" w:rsidRPr="00000000" w14:paraId="00000016">
      <w:pPr>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5ªA indirizzo ottico</w:t>
      </w:r>
    </w:p>
    <w:p w:rsidR="00000000" w:rsidDel="00000000" w:rsidP="00000000" w:rsidRDefault="00000000" w:rsidRPr="00000000" w14:paraId="00000017">
      <w:pPr>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4ªE indirizzo servizi sociali</w:t>
      </w:r>
    </w:p>
    <w:p w:rsidR="00000000" w:rsidDel="00000000" w:rsidP="00000000" w:rsidRDefault="00000000" w:rsidRPr="00000000" w14:paraId="00000018">
      <w:pPr>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9">
      <w:pPr>
        <w:jc w:val="right"/>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Docenti referenti:</w:t>
      </w:r>
    </w:p>
    <w:p w:rsidR="00000000" w:rsidDel="00000000" w:rsidP="00000000" w:rsidRDefault="00000000" w:rsidRPr="00000000" w14:paraId="0000001A">
      <w:pPr>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prof.ssa Laura Spallanzani</w:t>
      </w:r>
    </w:p>
    <w:p w:rsidR="00000000" w:rsidDel="00000000" w:rsidP="00000000" w:rsidRDefault="00000000" w:rsidRPr="00000000" w14:paraId="0000001B">
      <w:pPr>
        <w:jc w:val="right"/>
        <w:rPr>
          <w:b w:val="1"/>
        </w:rPr>
      </w:pPr>
      <w:r w:rsidDel="00000000" w:rsidR="00000000" w:rsidRPr="00000000">
        <w:rPr>
          <w:rFonts w:ascii="Verdana" w:cs="Verdana" w:eastAsia="Verdana" w:hAnsi="Verdana"/>
          <w:b w:val="1"/>
          <w:sz w:val="20"/>
          <w:szCs w:val="20"/>
          <w:rtl w:val="0"/>
        </w:rPr>
        <w:t xml:space="preserve">prof. Salvatore Corcione</w:t>
      </w: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Oggetto di questo dossier di documentazione è lo studio e l’approfondimento del diritto di voto dei cittadini italiani residenti all'estero, tema relativamente al quale sia il legislatore costituzionale, sia quello ordinario sono intervenuti per disciplinare e regolarne l’esercizio. Diverse, tuttavia, nel corso delle varie tornate politiche che si sono succedute negli anni, sono state le segnalazioni di falle di un sistema che trova nel voto per corrispondenza la modalità ordinaria con la quale votano i nostri connazionali dall’estero.</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Il lavoro svolto è stato realizzato partendo dalla ricerca di documentazione relativamente alle modalità pratiche con cui si vota. Le informazioni sono state raccolte avvalendosi di interviste richieste a residenti all’estero, attraverso informazioni raccolte da colloqui con l’ufficio AIRE di Reggio Emilia, oltre che da esperienze personali. Successivamente, si è passati all’analisi della normativa prevista all’interno della Costituzione e la legislazione ordinaria di riferimento. Importante è stata poi l’analisi della documentazione elaborata dal Servizio Studi della Camera dei Deputati. Sono state individuate le criticità che hanno confermato la convinzione che il sistema, così come congegnato, necessiti di un intervento migliorativo. Ulteriori approfondimenti sono stati eseguiti per comparare la legislazione vigente in altri Stati. Si è arrivato così ad una serie di considerazioni che hanno portato ad alcune conclusioni condivise e ad una serie di proposte ritenute indispensabili per apportare i miglioramenti necessari per sanare le falle attualmente presenti, a nostro avviso, nel sistema di voto. </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L’intera attività didattica è stata svolta attraverso lezioni interattive, lavori di gruppo, laboratori didattici e attività individuali di ricerca e rielaborazione dati svolte dagli studenti presso gli uffici comunali e attraverso contatti diretti con gli intervistati. L’attività di ricerca è avvenuta avvalendosi prevalentemente dell’ausilio e del supporto dei materiali presenti sul sito web della Camera dei Deputati, del Ministero degli Interni e del Ministero degli Affari Esteri e della Cooperazione Internazionale, del sito web della Gazzetta Ufficiale della Repubblica Italiana oltre che dei siti web di testate giornalistiche e di enti pubblici e privati, come ad esempio l’Aire.</w:t>
      </w: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Il risultato finale è un prodotto multimediale che potrà essere ulteriormente implementato, così come previsto dallo stesso bando di concorso. </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Presentiamo il nostro lavoro in tre formati: </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sz w:val="24"/>
          <w:szCs w:val="24"/>
          <w:u w:val="none"/>
        </w:rPr>
      </w:pPr>
      <w:hyperlink r:id="rId9">
        <w:r w:rsidDel="00000000" w:rsidR="00000000" w:rsidRPr="00000000">
          <w:rPr>
            <w:color w:val="1155cc"/>
            <w:sz w:val="24"/>
            <w:szCs w:val="24"/>
            <w:u w:val="single"/>
            <w:rtl w:val="0"/>
          </w:rPr>
          <w:t xml:space="preserve">Presentazione multimediale</w:t>
        </w:r>
      </w:hyperlink>
      <w:r w:rsidDel="00000000" w:rsidR="00000000" w:rsidRPr="00000000">
        <w:rPr>
          <w:sz w:val="24"/>
          <w:szCs w:val="24"/>
          <w:rtl w:val="0"/>
        </w:rPr>
        <w:t xml:space="preserve">, attraverso la piattaforma “Genially”;</w:t>
      </w:r>
    </w:p>
    <w:p w:rsidR="00000000" w:rsidDel="00000000" w:rsidP="00000000" w:rsidRDefault="00000000" w:rsidRPr="00000000" w14:paraId="00000028">
      <w:pPr>
        <w:numPr>
          <w:ilvl w:val="0"/>
          <w:numId w:val="1"/>
        </w:numPr>
        <w:ind w:left="720" w:hanging="360"/>
        <w:jc w:val="both"/>
        <w:rPr>
          <w:sz w:val="24"/>
          <w:szCs w:val="24"/>
          <w:u w:val="none"/>
        </w:rPr>
      </w:pPr>
      <w:r w:rsidDel="00000000" w:rsidR="00000000" w:rsidRPr="00000000">
        <w:rPr>
          <w:sz w:val="24"/>
          <w:szCs w:val="24"/>
          <w:rtl w:val="0"/>
        </w:rPr>
        <w:t xml:space="preserve">In </w:t>
      </w:r>
      <w:hyperlink r:id="rId10">
        <w:r w:rsidDel="00000000" w:rsidR="00000000" w:rsidRPr="00000000">
          <w:rPr>
            <w:color w:val="1155cc"/>
            <w:sz w:val="24"/>
            <w:szCs w:val="24"/>
            <w:u w:val="single"/>
            <w:rtl w:val="0"/>
          </w:rPr>
          <w:t xml:space="preserve">formato pdf</w:t>
        </w:r>
      </w:hyperlink>
      <w:r w:rsidDel="00000000" w:rsidR="00000000" w:rsidRPr="00000000">
        <w:rPr>
          <w:sz w:val="24"/>
          <w:szCs w:val="24"/>
          <w:rtl w:val="0"/>
        </w:rPr>
        <w:t xml:space="preserve">;</w:t>
      </w:r>
    </w:p>
    <w:p w:rsidR="00000000" w:rsidDel="00000000" w:rsidP="00000000" w:rsidRDefault="00000000" w:rsidRPr="00000000" w14:paraId="00000029">
      <w:pPr>
        <w:numPr>
          <w:ilvl w:val="0"/>
          <w:numId w:val="1"/>
        </w:numPr>
        <w:ind w:left="720" w:hanging="360"/>
        <w:jc w:val="both"/>
        <w:rPr>
          <w:sz w:val="24"/>
          <w:szCs w:val="24"/>
          <w:u w:val="none"/>
        </w:rPr>
      </w:pPr>
      <w:r w:rsidDel="00000000" w:rsidR="00000000" w:rsidRPr="00000000">
        <w:rPr>
          <w:sz w:val="24"/>
          <w:szCs w:val="24"/>
          <w:rtl w:val="0"/>
        </w:rPr>
        <w:t xml:space="preserve">in </w:t>
      </w:r>
      <w:hyperlink r:id="rId11">
        <w:r w:rsidDel="00000000" w:rsidR="00000000" w:rsidRPr="00000000">
          <w:rPr>
            <w:color w:val="1155cc"/>
            <w:sz w:val="24"/>
            <w:szCs w:val="24"/>
            <w:u w:val="single"/>
            <w:rtl w:val="0"/>
          </w:rPr>
          <w:t xml:space="preserve">formato documento di google</w:t>
        </w:r>
      </w:hyperlink>
      <w:r w:rsidDel="00000000" w:rsidR="00000000" w:rsidRPr="00000000">
        <w:rPr>
          <w:sz w:val="24"/>
          <w:szCs w:val="24"/>
          <w:rtl w:val="0"/>
        </w:rPr>
        <w:t xml:space="preserve">, per rendere visibili i collegamenti ipertestuali.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yriad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mOzKHyVstF9llpORrD0xe2rZkASrofgg_4tOOznqRR0/edit" TargetMode="External"/><Relationship Id="rId10" Type="http://schemas.openxmlformats.org/officeDocument/2006/relationships/hyperlink" Target="https://drive.google.com/file/d/1oRndaaginpniMGBUHOqu588JVIhxUDJL/view?usp=sharing" TargetMode="External"/><Relationship Id="rId9" Type="http://schemas.openxmlformats.org/officeDocument/2006/relationships/hyperlink" Target="https://view.genial.ly/637e019b05f02b0012665303/guide-il-voto-dei-cittadini-italiani-allester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alvaniiodi.gov.it/" TargetMode="External"/><Relationship Id="rId8" Type="http://schemas.openxmlformats.org/officeDocument/2006/relationships/hyperlink" Target="mailto:RERI090008@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